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color w:val="8A8A8A"/>
          <w:sz w:val="17"/>
        </w:rPr>
        <w:t>场景 1 ｜ 新生入学</w:t>
      </w:r>
    </w:p>
    <w:p>
      <w:r>
        <w:rPr>
          <w:rFonts w:ascii="宋体" w:hAnsi="宋体" w:eastAsia="宋体"/>
          <w:b/>
          <w:sz w:val="36"/>
        </w:rPr>
        <w:t>入学材料与办理事项记录表</w:t>
      </w:r>
    </w:p>
    <w:p>
      <w:r>
        <w:rPr>
          <w:rFonts w:ascii="宋体" w:hAnsi="宋体" w:eastAsia="宋体"/>
          <w:b w:val="0"/>
          <w:color w:val="5F5F5F"/>
          <w:sz w:val="20"/>
        </w:rPr>
        <w:t>把「谁办、带什么、什么时候截止、办完留什么」记在一张表里。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072" w:type="dxa"/>
      </w:tblPr>
      <w:tblGrid>
        <w:gridCol w:w="1474"/>
        <w:gridCol w:w="7597"/>
      </w:tblGrid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用途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报到前建表，每办完一项填一行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适用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新生与帮忙办理的家长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配套文章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docs/playbooks/大学新生入学与第一个月.md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最近核实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2026-10-18</w:t>
            </w:r>
          </w:p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一、事项台账</w:t>
      </w:r>
    </w:p>
    <w:p>
      <w:r>
        <w:rPr>
          <w:rFonts w:ascii="宋体" w:hAnsi="宋体" w:eastAsia="宋体"/>
          <w:b w:val="0"/>
          <w:color w:val="5F5F5F"/>
          <w:sz w:val="18"/>
        </w:rPr>
        <w:t>状态可写：未开始 / 进行中 / 已完成 / 受阻。受阻时在备注写清卡在哪。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298" w:type="dxa"/>
      </w:tblPr>
      <w:tblGrid>
        <w:gridCol w:w="1902"/>
        <w:gridCol w:w="1690"/>
        <w:gridCol w:w="1796"/>
        <w:gridCol w:w="1056"/>
        <w:gridCol w:w="739"/>
        <w:gridCol w:w="1162"/>
        <w:gridCol w:w="951"/>
      </w:tblGrid>
      <w:tr>
        <w:tc>
          <w:tcPr>
            <w:tcW w:type="dxa" w:w="1902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事项</w:t>
            </w:r>
          </w:p>
        </w:tc>
        <w:tc>
          <w:tcPr>
            <w:tcW w:type="dxa" w:w="169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办理地点 / 系统</w:t>
            </w:r>
          </w:p>
        </w:tc>
        <w:tc>
          <w:tcPr>
            <w:tcW w:type="dxa" w:w="1796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所需材料</w:t>
            </w:r>
          </w:p>
        </w:tc>
        <w:tc>
          <w:tcPr>
            <w:tcW w:type="dxa" w:w="1057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截止时间</w:t>
            </w:r>
          </w:p>
        </w:tc>
        <w:tc>
          <w:tcPr>
            <w:tcW w:type="dxa" w:w="74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状态</w:t>
            </w:r>
          </w:p>
        </w:tc>
        <w:tc>
          <w:tcPr>
            <w:tcW w:type="dxa" w:w="1162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回执 / 凭证</w:t>
            </w:r>
          </w:p>
        </w:tc>
        <w:tc>
          <w:tcPr>
            <w:tcW w:type="dxa" w:w="951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备注</w:t>
            </w:r>
          </w:p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  <w:tr>
        <w:tc>
          <w:tcPr>
            <w:tcW w:type="dxa" w:w="1902"/>
          </w:tcPr>
          <w:p/>
        </w:tc>
        <w:tc>
          <w:tcPr>
            <w:tcW w:type="dxa" w:w="1690"/>
          </w:tcPr>
          <w:p/>
        </w:tc>
        <w:tc>
          <w:tcPr>
            <w:tcW w:type="dxa" w:w="1796"/>
          </w:tcPr>
          <w:p/>
        </w:tc>
        <w:tc>
          <w:tcPr>
            <w:tcW w:type="dxa" w:w="1057"/>
          </w:tcPr>
          <w:p/>
        </w:tc>
        <w:tc>
          <w:tcPr>
            <w:tcW w:type="dxa" w:w="740"/>
          </w:tcPr>
          <w:p/>
        </w:tc>
        <w:tc>
          <w:tcPr>
            <w:tcW w:type="dxa" w:w="1162"/>
          </w:tcPr>
          <w:p/>
        </w:tc>
        <w:tc>
          <w:tcPr>
            <w:tcW w:type="dxa" w:w="951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二、常用部门与联系方式</w:t>
      </w:r>
    </w:p>
    <w:p>
      <w:r>
        <w:rPr>
          <w:rFonts w:ascii="宋体" w:hAnsi="宋体" w:eastAsia="宋体"/>
          <w:b w:val="0"/>
          <w:color w:val="5F5F5F"/>
          <w:sz w:val="18"/>
        </w:rPr>
        <w:t>填一次，后面一学期都能用：教务、资助中心、校医院、保卫处、宿管。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298" w:type="dxa"/>
      </w:tblPr>
      <w:tblGrid>
        <w:gridCol w:w="1549"/>
        <w:gridCol w:w="2583"/>
        <w:gridCol w:w="2066"/>
        <w:gridCol w:w="1549"/>
        <w:gridCol w:w="1549"/>
      </w:tblGrid>
      <w:tr>
        <w:tc>
          <w:tcPr>
            <w:tcW w:type="dxa" w:w="155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部门</w:t>
            </w:r>
          </w:p>
        </w:tc>
        <w:tc>
          <w:tcPr>
            <w:tcW w:type="dxa" w:w="2583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办什么</w:t>
            </w:r>
          </w:p>
        </w:tc>
        <w:tc>
          <w:tcPr>
            <w:tcW w:type="dxa" w:w="2066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办公地点</w:t>
            </w:r>
          </w:p>
        </w:tc>
        <w:tc>
          <w:tcPr>
            <w:tcW w:type="dxa" w:w="155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电话</w:t>
            </w:r>
          </w:p>
        </w:tc>
        <w:tc>
          <w:tcPr>
            <w:tcW w:type="dxa" w:w="155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办公时间</w:t>
            </w:r>
          </w:p>
        </w:tc>
      </w:tr>
      <w:tr>
        <w:tc>
          <w:tcPr>
            <w:tcW w:type="dxa" w:w="1550"/>
          </w:tcPr>
          <w:p/>
        </w:tc>
        <w:tc>
          <w:tcPr>
            <w:tcW w:type="dxa" w:w="2583"/>
          </w:tcPr>
          <w:p/>
        </w:tc>
        <w:tc>
          <w:tcPr>
            <w:tcW w:type="dxa" w:w="2066"/>
          </w:tcPr>
          <w:p/>
        </w:tc>
        <w:tc>
          <w:tcPr>
            <w:tcW w:type="dxa" w:w="1550"/>
          </w:tcPr>
          <w:p/>
        </w:tc>
        <w:tc>
          <w:tcPr>
            <w:tcW w:type="dxa" w:w="1550"/>
          </w:tcPr>
          <w:p/>
        </w:tc>
      </w:tr>
      <w:tr>
        <w:tc>
          <w:tcPr>
            <w:tcW w:type="dxa" w:w="1550"/>
          </w:tcPr>
          <w:p/>
        </w:tc>
        <w:tc>
          <w:tcPr>
            <w:tcW w:type="dxa" w:w="2583"/>
          </w:tcPr>
          <w:p/>
        </w:tc>
        <w:tc>
          <w:tcPr>
            <w:tcW w:type="dxa" w:w="2066"/>
          </w:tcPr>
          <w:p/>
        </w:tc>
        <w:tc>
          <w:tcPr>
            <w:tcW w:type="dxa" w:w="1550"/>
          </w:tcPr>
          <w:p/>
        </w:tc>
        <w:tc>
          <w:tcPr>
            <w:tcW w:type="dxa" w:w="1550"/>
          </w:tcPr>
          <w:p/>
        </w:tc>
      </w:tr>
      <w:tr>
        <w:tc>
          <w:tcPr>
            <w:tcW w:type="dxa" w:w="1550"/>
          </w:tcPr>
          <w:p/>
        </w:tc>
        <w:tc>
          <w:tcPr>
            <w:tcW w:type="dxa" w:w="2583"/>
          </w:tcPr>
          <w:p/>
        </w:tc>
        <w:tc>
          <w:tcPr>
            <w:tcW w:type="dxa" w:w="2066"/>
          </w:tcPr>
          <w:p/>
        </w:tc>
        <w:tc>
          <w:tcPr>
            <w:tcW w:type="dxa" w:w="1550"/>
          </w:tcPr>
          <w:p/>
        </w:tc>
        <w:tc>
          <w:tcPr>
            <w:tcW w:type="dxa" w:w="1550"/>
          </w:tcPr>
          <w:p/>
        </w:tc>
      </w:tr>
      <w:tr>
        <w:tc>
          <w:tcPr>
            <w:tcW w:type="dxa" w:w="1550"/>
          </w:tcPr>
          <w:p/>
        </w:tc>
        <w:tc>
          <w:tcPr>
            <w:tcW w:type="dxa" w:w="2583"/>
          </w:tcPr>
          <w:p/>
        </w:tc>
        <w:tc>
          <w:tcPr>
            <w:tcW w:type="dxa" w:w="2066"/>
          </w:tcPr>
          <w:p/>
        </w:tc>
        <w:tc>
          <w:tcPr>
            <w:tcW w:type="dxa" w:w="1550"/>
          </w:tcPr>
          <w:p/>
        </w:tc>
        <w:tc>
          <w:tcPr>
            <w:tcW w:type="dxa" w:w="1550"/>
          </w:tcPr>
          <w:p/>
        </w:tc>
      </w:tr>
      <w:tr>
        <w:tc>
          <w:tcPr>
            <w:tcW w:type="dxa" w:w="1550"/>
          </w:tcPr>
          <w:p/>
        </w:tc>
        <w:tc>
          <w:tcPr>
            <w:tcW w:type="dxa" w:w="2583"/>
          </w:tcPr>
          <w:p/>
        </w:tc>
        <w:tc>
          <w:tcPr>
            <w:tcW w:type="dxa" w:w="2066"/>
          </w:tcPr>
          <w:p/>
        </w:tc>
        <w:tc>
          <w:tcPr>
            <w:tcW w:type="dxa" w:w="1550"/>
          </w:tcPr>
          <w:p/>
        </w:tc>
        <w:tc>
          <w:tcPr>
            <w:tcW w:type="dxa" w:w="1550"/>
          </w:tcPr>
          <w:p/>
        </w:tc>
      </w:tr>
      <w:tr>
        <w:tc>
          <w:tcPr>
            <w:tcW w:type="dxa" w:w="1550"/>
          </w:tcPr>
          <w:p/>
        </w:tc>
        <w:tc>
          <w:tcPr>
            <w:tcW w:type="dxa" w:w="2583"/>
          </w:tcPr>
          <w:p/>
        </w:tc>
        <w:tc>
          <w:tcPr>
            <w:tcW w:type="dxa" w:w="2066"/>
          </w:tcPr>
          <w:p/>
        </w:tc>
        <w:tc>
          <w:tcPr>
            <w:tcW w:type="dxa" w:w="1550"/>
          </w:tcPr>
          <w:p/>
        </w:tc>
        <w:tc>
          <w:tcPr>
            <w:tcW w:type="dxa" w:w="1550"/>
          </w:tcPr>
          <w:p/>
        </w:tc>
      </w:tr>
    </w:tbl>
    <w:p/>
    <w:p>
      <w:r>
        <w:rPr>
          <w:rFonts w:ascii="宋体" w:hAnsi="宋体" w:eastAsia="宋体"/>
          <w:b w:val="0"/>
          <w:color w:val="8A8A8A"/>
          <w:sz w:val="17"/>
        </w:rPr>
        <w:t>本表为记录工具，不替代学校通知；材料与截止时间以迎新系统与学院通知为准。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8A8A8A"/>
        <w:sz w:val="16"/>
      </w:rPr>
      <w:t xml:space="preserve">机会手册 · 入学材料与办理事项记录表 · 第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