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10 ｜ 求职</w:t>
      </w:r>
    </w:p>
    <w:p>
      <w:r>
        <w:rPr>
          <w:rFonts w:ascii="宋体" w:hAnsi="宋体" w:eastAsia="宋体"/>
          <w:b/>
          <w:sz w:val="36"/>
        </w:rPr>
        <w:t>求职复盘记录</w:t>
      </w:r>
    </w:p>
    <w:p>
      <w:r>
        <w:rPr>
          <w:rFonts w:ascii="宋体" w:hAnsi="宋体" w:eastAsia="宋体"/>
          <w:b w:val="0"/>
          <w:color w:val="5F5F5F"/>
          <w:sz w:val="20"/>
        </w:rPr>
        <w:t>投了多少、面了几家、卡在哪一轮——先看漏斗，再改简历。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每轮面试后填，求职结束时汇总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正在秋招、春招或社招的求职者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book/06-从学校走向第一份工作.md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一、漏斗数据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2576"/>
        <w:gridCol w:w="1680"/>
        <w:gridCol w:w="1680"/>
        <w:gridCol w:w="1680"/>
        <w:gridCol w:w="1680"/>
      </w:tblGrid>
      <w:tr>
        <w:tc>
          <w:tcPr>
            <w:tcW w:type="dxa" w:w="2576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渠道</w:t>
            </w:r>
          </w:p>
        </w:tc>
        <w:tc>
          <w:tcPr>
            <w:tcW w:type="dxa" w:w="168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投递数</w:t>
            </w:r>
          </w:p>
        </w:tc>
        <w:tc>
          <w:tcPr>
            <w:tcW w:type="dxa" w:w="168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笔试数</w:t>
            </w:r>
          </w:p>
        </w:tc>
        <w:tc>
          <w:tcPr>
            <w:tcW w:type="dxa" w:w="168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面试数</w:t>
            </w:r>
          </w:p>
        </w:tc>
        <w:tc>
          <w:tcPr>
            <w:tcW w:type="dxa" w:w="168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Offer 数</w:t>
            </w:r>
          </w:p>
        </w:tc>
      </w:tr>
      <w:tr>
        <w:tc>
          <w:tcPr>
            <w:tcW w:type="dxa" w:w="2576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</w:tr>
      <w:tr>
        <w:tc>
          <w:tcPr>
            <w:tcW w:type="dxa" w:w="2576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</w:tr>
      <w:tr>
        <w:tc>
          <w:tcPr>
            <w:tcW w:type="dxa" w:w="2576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</w:tr>
      <w:tr>
        <w:tc>
          <w:tcPr>
            <w:tcW w:type="dxa" w:w="2576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  <w:tc>
          <w:tcPr>
            <w:tcW w:type="dxa" w:w="1680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二、面试问题与我的答法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1969"/>
        <w:gridCol w:w="2734"/>
        <w:gridCol w:w="2734"/>
        <w:gridCol w:w="1859"/>
      </w:tblGrid>
      <w:tr>
        <w:tc>
          <w:tcPr>
            <w:tcW w:type="dxa" w:w="1969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公司 / 岗位</w:t>
            </w:r>
          </w:p>
        </w:tc>
        <w:tc>
          <w:tcPr>
            <w:tcW w:type="dxa" w:w="27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问题</w:t>
            </w:r>
          </w:p>
        </w:tc>
        <w:tc>
          <w:tcPr>
            <w:tcW w:type="dxa" w:w="27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我的答法</w:t>
            </w:r>
          </w:p>
        </w:tc>
        <w:tc>
          <w:tcPr>
            <w:tcW w:type="dxa" w:w="186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事后判断</w:t>
            </w:r>
          </w:p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  <w:tr>
        <w:tc>
          <w:tcPr>
            <w:tcW w:type="dxa" w:w="1969"/>
          </w:tcPr>
          <w:p/>
        </w:tc>
        <w:tc>
          <w:tcPr>
            <w:tcW w:type="dxa" w:w="2735"/>
          </w:tcPr>
          <w:p/>
        </w:tc>
        <w:tc>
          <w:tcPr>
            <w:tcW w:type="dxa" w:w="2735"/>
          </w:tcPr>
          <w:p/>
        </w:tc>
        <w:tc>
          <w:tcPr>
            <w:tcW w:type="dxa" w:w="1860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三、被拒原因的假设与验证</w:t>
      </w:r>
    </w:p>
    <w:p>
      <w:r>
        <w:rPr>
          <w:rFonts w:ascii="宋体" w:hAnsi="宋体" w:eastAsia="宋体"/>
          <w:b w:val="0"/>
          <w:color w:val="5F5F5F"/>
          <w:sz w:val="18"/>
        </w:rPr>
        <w:t>假设要能被验证，例：「岗位要能立刻上手」，就去问 HR 或看同岗入职者背景。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四、下一轮要改的三件事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五、保留的材料</w:t>
      </w:r>
    </w:p>
    <w:p>
      <w:r>
        <w:rPr>
          <w:rFonts w:ascii="宋体" w:hAnsi="宋体" w:eastAsia="宋体"/>
          <w:b w:val="0"/>
          <w:color w:val="5F5F5F"/>
          <w:sz w:val="18"/>
        </w:rPr>
        <w:t>简历版本、笔试题、面试记录，下一次直接复用。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招聘结果受名额与时机影响，不是所有拒绝都能归因到个人；复盘用于改进可控部分。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求职复盘记录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